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19" w:rsidRDefault="00455219" w:rsidP="00455219">
      <w:pPr>
        <w:spacing w:before="100" w:beforeAutospacing="1" w:after="100" w:afterAutospacing="1"/>
        <w:jc w:val="center"/>
        <w:outlineLvl w:val="1"/>
        <w:rPr>
          <w:rFonts w:ascii="Times New Roman" w:eastAsia="Times New Roman" w:hAnsi="Times New Roman" w:cs="Times New Roman"/>
          <w:b/>
          <w:bCs/>
          <w:kern w:val="36"/>
          <w:sz w:val="34"/>
          <w:szCs w:val="34"/>
          <w:lang w:eastAsia="de-DE"/>
        </w:rPr>
      </w:pPr>
      <w:r w:rsidRPr="00455219">
        <w:rPr>
          <w:rFonts w:ascii="Times New Roman" w:eastAsia="Times New Roman" w:hAnsi="Times New Roman" w:cs="Times New Roman"/>
          <w:b/>
          <w:bCs/>
          <w:kern w:val="36"/>
          <w:sz w:val="34"/>
          <w:szCs w:val="34"/>
          <w:lang w:eastAsia="de-DE"/>
        </w:rPr>
        <w:t>Allgemeines Gleichbehandlungsgesetz (AGG)</w:t>
      </w:r>
    </w:p>
    <w:p w:rsidR="00455219" w:rsidRDefault="00455219" w:rsidP="00455219">
      <w:pPr>
        <w:spacing w:before="100" w:beforeAutospacing="1" w:after="100" w:afterAutospacing="1"/>
        <w:jc w:val="center"/>
        <w:outlineLvl w:val="1"/>
        <w:rPr>
          <w:rFonts w:ascii="Times New Roman" w:eastAsia="Times New Roman" w:hAnsi="Times New Roman" w:cs="Times New Roman"/>
          <w:b/>
          <w:bCs/>
          <w:kern w:val="36"/>
          <w:sz w:val="34"/>
          <w:szCs w:val="34"/>
          <w:lang w:eastAsia="de-DE"/>
        </w:rPr>
      </w:pPr>
      <w:r>
        <w:rPr>
          <w:rFonts w:ascii="Times New Roman" w:eastAsia="Times New Roman" w:hAnsi="Times New Roman" w:cs="Times New Roman"/>
          <w:b/>
          <w:bCs/>
          <w:kern w:val="36"/>
          <w:sz w:val="34"/>
          <w:szCs w:val="34"/>
          <w:lang w:eastAsia="de-DE"/>
        </w:rPr>
        <w:t>(Auszüge)</w:t>
      </w:r>
    </w:p>
    <w:p w:rsidR="00455219" w:rsidRPr="00455219" w:rsidRDefault="00455219" w:rsidP="00455219">
      <w:pPr>
        <w:spacing w:before="100" w:beforeAutospacing="1" w:after="100" w:afterAutospacing="1"/>
        <w:jc w:val="center"/>
        <w:outlineLvl w:val="1"/>
        <w:rPr>
          <w:rFonts w:ascii="Times New Roman" w:eastAsia="Times New Roman" w:hAnsi="Times New Roman" w:cs="Times New Roman"/>
          <w:b/>
          <w:bCs/>
          <w:kern w:val="36"/>
          <w:sz w:val="34"/>
          <w:szCs w:val="34"/>
          <w:lang w:eastAsia="de-DE"/>
        </w:rPr>
      </w:pPr>
      <w:r w:rsidRPr="00455219">
        <w:rPr>
          <w:rFonts w:ascii="Times New Roman" w:eastAsia="Times New Roman" w:hAnsi="Times New Roman" w:cs="Times New Roman"/>
          <w:b/>
          <w:bCs/>
          <w:kern w:val="36"/>
          <w:sz w:val="34"/>
          <w:szCs w:val="34"/>
          <w:lang w:eastAsia="de-DE"/>
        </w:rPr>
        <w:br/>
        <w:t>§ 1 Ziel des Gesetzes</w:t>
      </w:r>
    </w:p>
    <w:p w:rsidR="00455219" w:rsidRPr="00455219" w:rsidRDefault="00455219" w:rsidP="00455219">
      <w:pPr>
        <w:rPr>
          <w:rFonts w:eastAsia="Times New Roman" w:cs="Arial"/>
          <w:sz w:val="28"/>
          <w:szCs w:val="28"/>
          <w:lang w:eastAsia="de-DE"/>
        </w:rPr>
      </w:pPr>
      <w:r w:rsidRPr="00455219">
        <w:rPr>
          <w:rFonts w:eastAsia="Times New Roman" w:cs="Arial"/>
          <w:b/>
          <w:sz w:val="28"/>
          <w:szCs w:val="28"/>
          <w:lang w:eastAsia="de-DE"/>
        </w:rPr>
        <w:t>Ziel des Gesetzes ist, Benachteiligungen aus Gründen</w:t>
      </w:r>
      <w:r w:rsidRPr="00455219">
        <w:rPr>
          <w:rFonts w:eastAsia="Times New Roman" w:cs="Arial"/>
          <w:sz w:val="24"/>
          <w:szCs w:val="24"/>
          <w:lang w:eastAsia="de-DE"/>
        </w:rPr>
        <w:t xml:space="preserve"> der Rasse oder wegen der ethnischen Herkunft, des Geschlechts, der Religion oder Weltanschauung</w:t>
      </w:r>
      <w:r w:rsidRPr="00455219">
        <w:rPr>
          <w:rFonts w:eastAsia="Times New Roman" w:cs="Arial"/>
          <w:sz w:val="28"/>
          <w:szCs w:val="28"/>
          <w:lang w:eastAsia="de-DE"/>
        </w:rPr>
        <w:t xml:space="preserve">, </w:t>
      </w:r>
      <w:r w:rsidRPr="00455219">
        <w:rPr>
          <w:rFonts w:eastAsia="Times New Roman" w:cs="Arial"/>
          <w:b/>
          <w:sz w:val="28"/>
          <w:szCs w:val="28"/>
          <w:lang w:eastAsia="de-DE"/>
        </w:rPr>
        <w:t>einer Behinderung</w:t>
      </w:r>
      <w:r w:rsidRPr="00455219">
        <w:rPr>
          <w:rFonts w:eastAsia="Times New Roman" w:cs="Arial"/>
          <w:sz w:val="24"/>
          <w:szCs w:val="24"/>
          <w:lang w:eastAsia="de-DE"/>
        </w:rPr>
        <w:t xml:space="preserve">, des Alters oder der sexuellen </w:t>
      </w:r>
      <w:r w:rsidRPr="00455219">
        <w:rPr>
          <w:rFonts w:eastAsia="Times New Roman" w:cs="Arial"/>
          <w:sz w:val="28"/>
          <w:szCs w:val="28"/>
          <w:lang w:eastAsia="de-DE"/>
        </w:rPr>
        <w:t xml:space="preserve">Identität </w:t>
      </w:r>
      <w:r w:rsidRPr="00455219">
        <w:rPr>
          <w:rFonts w:eastAsia="Times New Roman" w:cs="Arial"/>
          <w:b/>
          <w:sz w:val="28"/>
          <w:szCs w:val="28"/>
          <w:lang w:eastAsia="de-DE"/>
        </w:rPr>
        <w:t>zu verhindern oder zu beseitigen.</w:t>
      </w:r>
    </w:p>
    <w:p w:rsidR="002D1FA3" w:rsidRDefault="002D1FA3"/>
    <w:p w:rsidR="00455219" w:rsidRPr="00455219" w:rsidRDefault="00455219" w:rsidP="00455219">
      <w:pPr>
        <w:spacing w:before="100" w:beforeAutospacing="1" w:after="100" w:afterAutospacing="1"/>
        <w:jc w:val="center"/>
        <w:outlineLvl w:val="1"/>
        <w:rPr>
          <w:rFonts w:ascii="Times New Roman" w:eastAsia="Times New Roman" w:hAnsi="Times New Roman" w:cs="Times New Roman"/>
          <w:b/>
          <w:bCs/>
          <w:kern w:val="36"/>
          <w:sz w:val="34"/>
          <w:szCs w:val="34"/>
          <w:lang w:eastAsia="de-DE"/>
        </w:rPr>
      </w:pPr>
      <w:r w:rsidRPr="00455219">
        <w:rPr>
          <w:rFonts w:ascii="Times New Roman" w:eastAsia="Times New Roman" w:hAnsi="Times New Roman" w:cs="Times New Roman"/>
          <w:b/>
          <w:bCs/>
          <w:kern w:val="36"/>
          <w:sz w:val="34"/>
          <w:szCs w:val="34"/>
          <w:lang w:eastAsia="de-DE"/>
        </w:rPr>
        <w:t>Allgemeines Gleichbehandlungsges</w:t>
      </w:r>
      <w:bookmarkStart w:id="0" w:name="_GoBack"/>
      <w:bookmarkEnd w:id="0"/>
      <w:r w:rsidRPr="00455219">
        <w:rPr>
          <w:rFonts w:ascii="Times New Roman" w:eastAsia="Times New Roman" w:hAnsi="Times New Roman" w:cs="Times New Roman"/>
          <w:b/>
          <w:bCs/>
          <w:kern w:val="36"/>
          <w:sz w:val="34"/>
          <w:szCs w:val="34"/>
          <w:lang w:eastAsia="de-DE"/>
        </w:rPr>
        <w:t>etz (AGG)</w:t>
      </w:r>
      <w:r w:rsidRPr="00455219">
        <w:rPr>
          <w:rFonts w:ascii="Times New Roman" w:eastAsia="Times New Roman" w:hAnsi="Times New Roman" w:cs="Times New Roman"/>
          <w:b/>
          <w:bCs/>
          <w:kern w:val="36"/>
          <w:sz w:val="34"/>
          <w:szCs w:val="34"/>
          <w:lang w:eastAsia="de-DE"/>
        </w:rPr>
        <w:br/>
        <w:t>§ 2 Anwendungsbereich</w:t>
      </w:r>
    </w:p>
    <w:p w:rsidR="00455219" w:rsidRPr="00455219" w:rsidRDefault="00455219" w:rsidP="00455219">
      <w:pPr>
        <w:spacing w:before="120"/>
        <w:rPr>
          <w:rFonts w:eastAsia="Times New Roman" w:cs="Arial"/>
          <w:sz w:val="24"/>
          <w:szCs w:val="24"/>
          <w:lang w:eastAsia="de-DE"/>
        </w:rPr>
      </w:pPr>
      <w:r w:rsidRPr="00455219">
        <w:rPr>
          <w:rFonts w:eastAsia="Times New Roman" w:cs="Arial"/>
          <w:sz w:val="24"/>
          <w:szCs w:val="24"/>
          <w:lang w:eastAsia="de-DE"/>
        </w:rPr>
        <w:t xml:space="preserve">(1) </w:t>
      </w:r>
      <w:r w:rsidRPr="00455219">
        <w:rPr>
          <w:rFonts w:eastAsia="Times New Roman" w:cs="Arial"/>
          <w:b/>
          <w:sz w:val="24"/>
          <w:szCs w:val="24"/>
          <w:lang w:eastAsia="de-DE"/>
        </w:rPr>
        <w:t>Benachteiligungen aus einem in § 1 genannten Grund sind nach Maßgabe dieses Gesetzes unzulässig in Bezug auf</w:t>
      </w:r>
      <w:r w:rsidRPr="00455219">
        <w:rPr>
          <w:rFonts w:eastAsia="Times New Roman" w:cs="Arial"/>
          <w:sz w:val="24"/>
          <w:szCs w:val="24"/>
          <w:lang w:eastAsia="de-DE"/>
        </w:rPr>
        <w:t xml:space="preserve">: </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1.</w:t>
      </w:r>
    </w:p>
    <w:p w:rsidR="00455219" w:rsidRPr="00455219" w:rsidRDefault="00455219" w:rsidP="00455219">
      <w:pPr>
        <w:spacing w:after="120"/>
        <w:ind w:left="720"/>
        <w:rPr>
          <w:rFonts w:eastAsia="Times New Roman" w:cs="Arial"/>
          <w:sz w:val="24"/>
          <w:szCs w:val="24"/>
          <w:lang w:eastAsia="de-DE"/>
        </w:rPr>
      </w:pPr>
      <w:r w:rsidRPr="00455219">
        <w:rPr>
          <w:rFonts w:eastAsia="Times New Roman" w:cs="Arial"/>
          <w:sz w:val="24"/>
          <w:szCs w:val="24"/>
          <w:lang w:eastAsia="de-DE"/>
        </w:rPr>
        <w:t xml:space="preserve">die Bedingungen, </w:t>
      </w:r>
      <w:r w:rsidRPr="00455219">
        <w:rPr>
          <w:rFonts w:eastAsia="Times New Roman" w:cs="Arial"/>
          <w:b/>
          <w:sz w:val="28"/>
          <w:szCs w:val="28"/>
          <w:lang w:eastAsia="de-DE"/>
        </w:rPr>
        <w:t>einschließlich Auswahlkriterien und Einstellungsbedingungen</w:t>
      </w:r>
      <w:r w:rsidRPr="00455219">
        <w:rPr>
          <w:rFonts w:eastAsia="Times New Roman" w:cs="Arial"/>
          <w:sz w:val="24"/>
          <w:szCs w:val="24"/>
          <w:lang w:eastAsia="de-DE"/>
        </w:rPr>
        <w:t>, für den Zugang zu unselbstständiger und selbstständiger Erwerbstätigkeit, unabhängig von Tätigkeitsfeld und beruflicher Position, sowie für den beruflichen Aufstieg,</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2.</w:t>
      </w:r>
    </w:p>
    <w:p w:rsidR="00455219" w:rsidRPr="00455219" w:rsidRDefault="00455219" w:rsidP="00455219">
      <w:pPr>
        <w:spacing w:after="120"/>
        <w:ind w:left="720"/>
        <w:rPr>
          <w:rFonts w:eastAsia="Times New Roman" w:cs="Arial"/>
          <w:sz w:val="24"/>
          <w:szCs w:val="24"/>
          <w:lang w:eastAsia="de-DE"/>
        </w:rPr>
      </w:pPr>
      <w:r w:rsidRPr="00455219">
        <w:rPr>
          <w:rFonts w:eastAsia="Times New Roman" w:cs="Arial"/>
          <w:sz w:val="24"/>
          <w:szCs w:val="24"/>
          <w:lang w:eastAsia="de-DE"/>
        </w:rPr>
        <w:t>die Beschäftigungs- und Arbeitsbedingungen einschließlich Arbeitsentgelt und Entlassungsbedingungen, insbesondere in individual- und kollektivrechtlichen Vereinbarungen und Maßnahmen bei der Durchführung und Beendigung eines Beschäftigungsverhältnisses sowie beim beruflichen Aufstieg,</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3.</w:t>
      </w:r>
    </w:p>
    <w:p w:rsidR="00455219" w:rsidRPr="00455219" w:rsidRDefault="00455219" w:rsidP="00455219">
      <w:pPr>
        <w:spacing w:after="120"/>
        <w:ind w:left="720"/>
        <w:rPr>
          <w:rFonts w:eastAsia="Times New Roman" w:cs="Arial"/>
          <w:sz w:val="24"/>
          <w:szCs w:val="24"/>
          <w:lang w:eastAsia="de-DE"/>
        </w:rPr>
      </w:pPr>
      <w:r w:rsidRPr="00455219">
        <w:rPr>
          <w:rFonts w:eastAsia="Times New Roman" w:cs="Arial"/>
          <w:sz w:val="24"/>
          <w:szCs w:val="24"/>
          <w:lang w:eastAsia="de-DE"/>
        </w:rPr>
        <w:t>den Zugang zu allen Formen und allen Ebenen der Berufsberatung, der Berufsbildung einschließlich der Berufsausbildung, der beruflichen Weiterbildung und der Umschulung sowie der praktischen Berufserfahrung,</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4.</w:t>
      </w:r>
    </w:p>
    <w:p w:rsidR="00455219" w:rsidRPr="00455219" w:rsidRDefault="00455219" w:rsidP="00455219">
      <w:pPr>
        <w:spacing w:after="120"/>
        <w:ind w:left="720"/>
        <w:rPr>
          <w:rFonts w:eastAsia="Times New Roman" w:cs="Arial"/>
          <w:sz w:val="24"/>
          <w:szCs w:val="24"/>
          <w:lang w:eastAsia="de-DE"/>
        </w:rPr>
      </w:pPr>
      <w:r w:rsidRPr="00455219">
        <w:rPr>
          <w:rFonts w:eastAsia="Times New Roman" w:cs="Arial"/>
          <w:sz w:val="24"/>
          <w:szCs w:val="24"/>
          <w:lang w:eastAsia="de-DE"/>
        </w:rPr>
        <w:t>die Mitgliedschaft und Mitwirkung in einer Beschäftigten- oder Arbeitgebervereinigung oder einer Vereinigung, deren Mitglieder einer bestimmten Berufsgruppe angehören, einschließlich der Inanspruchnahme der Leistungen solcher Vereinigungen,</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5.</w:t>
      </w:r>
    </w:p>
    <w:p w:rsidR="00455219" w:rsidRPr="00455219" w:rsidRDefault="00455219" w:rsidP="00455219">
      <w:pPr>
        <w:spacing w:after="120"/>
        <w:ind w:left="720"/>
        <w:rPr>
          <w:rFonts w:eastAsia="Times New Roman" w:cs="Arial"/>
          <w:sz w:val="24"/>
          <w:szCs w:val="24"/>
          <w:lang w:eastAsia="de-DE"/>
        </w:rPr>
      </w:pPr>
      <w:r w:rsidRPr="00455219">
        <w:rPr>
          <w:rFonts w:eastAsia="Times New Roman" w:cs="Arial"/>
          <w:sz w:val="24"/>
          <w:szCs w:val="24"/>
          <w:lang w:eastAsia="de-DE"/>
        </w:rPr>
        <w:t>den Sozialschutz, einschließlich der sozialen Sicherheit und der Gesundheitsdienste,</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6.</w:t>
      </w:r>
    </w:p>
    <w:p w:rsidR="00455219" w:rsidRPr="00455219" w:rsidRDefault="00455219" w:rsidP="00455219">
      <w:pPr>
        <w:spacing w:after="120"/>
        <w:ind w:left="720"/>
        <w:rPr>
          <w:rFonts w:eastAsia="Times New Roman" w:cs="Arial"/>
          <w:sz w:val="24"/>
          <w:szCs w:val="24"/>
          <w:lang w:eastAsia="de-DE"/>
        </w:rPr>
      </w:pPr>
      <w:r w:rsidRPr="00455219">
        <w:rPr>
          <w:rFonts w:eastAsia="Times New Roman" w:cs="Arial"/>
          <w:sz w:val="24"/>
          <w:szCs w:val="24"/>
          <w:lang w:eastAsia="de-DE"/>
        </w:rPr>
        <w:t>die sozialen Vergünstigungen,</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7.</w:t>
      </w:r>
    </w:p>
    <w:p w:rsidR="00455219" w:rsidRPr="00455219" w:rsidRDefault="00455219" w:rsidP="00455219">
      <w:pPr>
        <w:spacing w:after="120"/>
        <w:ind w:left="720"/>
        <w:rPr>
          <w:rFonts w:eastAsia="Times New Roman" w:cs="Arial"/>
          <w:sz w:val="24"/>
          <w:szCs w:val="24"/>
          <w:lang w:eastAsia="de-DE"/>
        </w:rPr>
      </w:pPr>
      <w:r w:rsidRPr="00455219">
        <w:rPr>
          <w:rFonts w:eastAsia="Times New Roman" w:cs="Arial"/>
          <w:sz w:val="24"/>
          <w:szCs w:val="24"/>
          <w:lang w:eastAsia="de-DE"/>
        </w:rPr>
        <w:t>die Bildung,</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8.</w:t>
      </w:r>
    </w:p>
    <w:p w:rsidR="00455219" w:rsidRPr="00455219" w:rsidRDefault="00455219" w:rsidP="00455219">
      <w:pPr>
        <w:spacing w:after="120"/>
        <w:ind w:left="720"/>
        <w:rPr>
          <w:rFonts w:eastAsia="Times New Roman" w:cs="Arial"/>
          <w:sz w:val="24"/>
          <w:szCs w:val="24"/>
          <w:lang w:eastAsia="de-DE"/>
        </w:rPr>
      </w:pPr>
      <w:r w:rsidRPr="00455219">
        <w:rPr>
          <w:rFonts w:eastAsia="Times New Roman" w:cs="Arial"/>
          <w:sz w:val="24"/>
          <w:szCs w:val="24"/>
          <w:lang w:eastAsia="de-DE"/>
        </w:rPr>
        <w:lastRenderedPageBreak/>
        <w:t>den Zugang zu und die Versorgung mit Gütern und Dienstleistungen, die der Öffentlichkeit zur Verfügung stehen, einschließlich von Wohnraum.</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(2) Für Leistungen nach dem Sozialgesetzbuch gelten § 33c des Ersten Buches Sozialgesetzbuch und § 19a des Vierten Buches Sozialgesetzbuch. Für die betriebliche Altersvorsorge gilt das Betriebsrentengesetz.</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(3) Die Geltung sonstiger Benachteiligungsverbote oder Gebote der Gleichbehandlung wird durch dieses Gesetz nicht berührt. Dies gilt auch für öffentlich-rechtliche Vorschriften, die dem Schutz bestimmter Personengruppen dienen.</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(4) Für Kündigungen gelten ausschließlich die Bestimmungen zum allgemeinen und besonderen Kündigungsschutz.</w:t>
      </w:r>
    </w:p>
    <w:p w:rsidR="00455219" w:rsidRDefault="00455219"/>
    <w:p w:rsidR="00455219" w:rsidRPr="00455219" w:rsidRDefault="00455219" w:rsidP="00455219">
      <w:pPr>
        <w:spacing w:before="100" w:beforeAutospacing="1" w:after="100" w:afterAutospacing="1"/>
        <w:jc w:val="center"/>
        <w:outlineLvl w:val="1"/>
        <w:rPr>
          <w:rFonts w:ascii="Times New Roman" w:eastAsia="Times New Roman" w:hAnsi="Times New Roman" w:cs="Times New Roman"/>
          <w:b/>
          <w:bCs/>
          <w:kern w:val="36"/>
          <w:sz w:val="34"/>
          <w:szCs w:val="34"/>
          <w:lang w:eastAsia="de-DE"/>
        </w:rPr>
      </w:pPr>
      <w:r w:rsidRPr="00455219">
        <w:rPr>
          <w:rFonts w:ascii="Times New Roman" w:eastAsia="Times New Roman" w:hAnsi="Times New Roman" w:cs="Times New Roman"/>
          <w:b/>
          <w:bCs/>
          <w:kern w:val="36"/>
          <w:sz w:val="34"/>
          <w:szCs w:val="34"/>
          <w:lang w:eastAsia="de-DE"/>
        </w:rPr>
        <w:t>Allgemeines Gleichbehandlungsgesetz (AGG)</w:t>
      </w:r>
      <w:r w:rsidRPr="00455219">
        <w:rPr>
          <w:rFonts w:ascii="Times New Roman" w:eastAsia="Times New Roman" w:hAnsi="Times New Roman" w:cs="Times New Roman"/>
          <w:b/>
          <w:bCs/>
          <w:kern w:val="36"/>
          <w:sz w:val="34"/>
          <w:szCs w:val="34"/>
          <w:lang w:eastAsia="de-DE"/>
        </w:rPr>
        <w:br/>
        <w:t>§ 15 Entschädigung und Schadensersatz</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(1) Bei einem Verstoß gegen das Benachteiligungsverbot ist der Arbeitgeber verpflichtet, den hierdurch entstandenen Schaden zu ersetzen. Dies gilt nicht, wenn der Arbeitgeber die Pflichtverletzung nicht zu vertreten hat.</w:t>
      </w:r>
    </w:p>
    <w:p w:rsidR="00455219" w:rsidRPr="00455219" w:rsidRDefault="00455219" w:rsidP="00455219">
      <w:pPr>
        <w:rPr>
          <w:rFonts w:eastAsia="Times New Roman" w:cs="Arial"/>
          <w:b/>
          <w:sz w:val="28"/>
          <w:szCs w:val="28"/>
          <w:lang w:eastAsia="de-DE"/>
        </w:rPr>
      </w:pPr>
      <w:r w:rsidRPr="00455219">
        <w:rPr>
          <w:rFonts w:eastAsia="Times New Roman" w:cs="Arial"/>
          <w:b/>
          <w:sz w:val="28"/>
          <w:szCs w:val="28"/>
          <w:lang w:eastAsia="de-DE"/>
        </w:rPr>
        <w:t>(2) Wegen eines Schadens, der nicht Vermögensschaden ist, kann der oder die Beschäftigte eine angemessene Entschädigung in Geld verlangen. Die Entschädigung darf bei einer Nichteinstellung drei Monatsgehälter nicht übersteigen, wenn der oder die Beschäftigte auch bei benachteiligungsfreier Auswahl nicht eingestellt worden wäre.</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(3) Der Arbeitgeber ist bei der Anwendung kollektivrechtlicher Vereinbarungen nur dann zur Entschädigung verpflichtet, wenn er vorsätzlich oder grob fahrlässig handelt.</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(4) Ein Anspruch nach Absatz 1 oder 2 muss innerhalb einer Frist von zwei Monaten schriftlich geltend gemacht werden, es sei denn, die Tarifvertragsparteien haben etwas anderes vereinbart. Die Frist beginnt im Falle einer Bewerbung oder eines beruflichen Aufstiegs mit dem Zugang der Ablehnung und in den sonstigen Fällen einer Benachteiligung zu dem Zeitpunkt, in dem der oder die Beschäftigte von der Benachteiligung Kenntnis erlangt.</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(5) Im Übrigen bleiben Ansprüche gegen den Arbeitgeber, die sich aus anderen Rechtsvorschriften ergeben, unberührt.</w:t>
      </w:r>
    </w:p>
    <w:p w:rsidR="00455219" w:rsidRPr="00455219" w:rsidRDefault="00455219" w:rsidP="00455219">
      <w:pPr>
        <w:rPr>
          <w:rFonts w:eastAsia="Times New Roman" w:cs="Arial"/>
          <w:sz w:val="24"/>
          <w:szCs w:val="24"/>
          <w:lang w:eastAsia="de-DE"/>
        </w:rPr>
      </w:pPr>
      <w:r w:rsidRPr="00455219">
        <w:rPr>
          <w:rFonts w:eastAsia="Times New Roman" w:cs="Arial"/>
          <w:sz w:val="24"/>
          <w:szCs w:val="24"/>
          <w:lang w:eastAsia="de-DE"/>
        </w:rPr>
        <w:t>(6) Ein Verstoß des Arbeitgebers gegen das Benachteiligungsverbot des § 7 Abs. 1 begründet keinen Anspruch auf Begründung eines Beschäftigungsverhältnisses, Berufsausbildungsverhältnisses oder einen beruflichen Aufstieg, es sei denn, ein solcher ergibt sich aus einem anderen Rechtsgrund.</w:t>
      </w:r>
    </w:p>
    <w:p w:rsidR="00455219" w:rsidRDefault="00455219"/>
    <w:sectPr w:rsidR="00455219" w:rsidSect="00455219">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19"/>
    <w:rsid w:val="002D1FA3"/>
    <w:rsid w:val="00313470"/>
    <w:rsid w:val="003928A6"/>
    <w:rsid w:val="00455219"/>
    <w:rsid w:val="007B0163"/>
    <w:rsid w:val="00A20981"/>
    <w:rsid w:val="00AB7743"/>
    <w:rsid w:val="00AD774C"/>
    <w:rsid w:val="00BE6114"/>
    <w:rsid w:val="00D550E6"/>
    <w:rsid w:val="00E83A2F"/>
    <w:rsid w:val="00FE45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52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52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79918">
      <w:bodyDiv w:val="1"/>
      <w:marLeft w:val="0"/>
      <w:marRight w:val="0"/>
      <w:marTop w:val="0"/>
      <w:marBottom w:val="0"/>
      <w:divBdr>
        <w:top w:val="none" w:sz="0" w:space="0" w:color="auto"/>
        <w:left w:val="none" w:sz="0" w:space="0" w:color="auto"/>
        <w:bottom w:val="none" w:sz="0" w:space="0" w:color="auto"/>
        <w:right w:val="none" w:sz="0" w:space="0" w:color="auto"/>
      </w:divBdr>
      <w:divsChild>
        <w:div w:id="780144545">
          <w:marLeft w:val="0"/>
          <w:marRight w:val="0"/>
          <w:marTop w:val="0"/>
          <w:marBottom w:val="0"/>
          <w:divBdr>
            <w:top w:val="none" w:sz="0" w:space="0" w:color="auto"/>
            <w:left w:val="none" w:sz="0" w:space="0" w:color="auto"/>
            <w:bottom w:val="none" w:sz="0" w:space="0" w:color="auto"/>
            <w:right w:val="none" w:sz="0" w:space="0" w:color="auto"/>
          </w:divBdr>
          <w:divsChild>
            <w:div w:id="230972440">
              <w:marLeft w:val="0"/>
              <w:marRight w:val="0"/>
              <w:marTop w:val="0"/>
              <w:marBottom w:val="0"/>
              <w:divBdr>
                <w:top w:val="none" w:sz="0" w:space="0" w:color="auto"/>
                <w:left w:val="none" w:sz="0" w:space="0" w:color="auto"/>
                <w:bottom w:val="none" w:sz="0" w:space="0" w:color="auto"/>
                <w:right w:val="none" w:sz="0" w:space="0" w:color="auto"/>
              </w:divBdr>
              <w:divsChild>
                <w:div w:id="423844687">
                  <w:marLeft w:val="0"/>
                  <w:marRight w:val="0"/>
                  <w:marTop w:val="0"/>
                  <w:marBottom w:val="0"/>
                  <w:divBdr>
                    <w:top w:val="none" w:sz="0" w:space="0" w:color="auto"/>
                    <w:left w:val="none" w:sz="0" w:space="0" w:color="auto"/>
                    <w:bottom w:val="none" w:sz="0" w:space="0" w:color="auto"/>
                    <w:right w:val="none" w:sz="0" w:space="0" w:color="auto"/>
                  </w:divBdr>
                  <w:divsChild>
                    <w:div w:id="580022731">
                      <w:marLeft w:val="0"/>
                      <w:marRight w:val="0"/>
                      <w:marTop w:val="0"/>
                      <w:marBottom w:val="0"/>
                      <w:divBdr>
                        <w:top w:val="none" w:sz="0" w:space="0" w:color="auto"/>
                        <w:left w:val="none" w:sz="0" w:space="0" w:color="auto"/>
                        <w:bottom w:val="none" w:sz="0" w:space="0" w:color="auto"/>
                        <w:right w:val="none" w:sz="0" w:space="0" w:color="auto"/>
                      </w:divBdr>
                      <w:divsChild>
                        <w:div w:id="1020663835">
                          <w:marLeft w:val="0"/>
                          <w:marRight w:val="0"/>
                          <w:marTop w:val="0"/>
                          <w:marBottom w:val="0"/>
                          <w:divBdr>
                            <w:top w:val="none" w:sz="0" w:space="0" w:color="auto"/>
                            <w:left w:val="none" w:sz="0" w:space="0" w:color="auto"/>
                            <w:bottom w:val="none" w:sz="0" w:space="0" w:color="auto"/>
                            <w:right w:val="none" w:sz="0" w:space="0" w:color="auto"/>
                          </w:divBdr>
                        </w:div>
                        <w:div w:id="1128816194">
                          <w:marLeft w:val="0"/>
                          <w:marRight w:val="0"/>
                          <w:marTop w:val="0"/>
                          <w:marBottom w:val="0"/>
                          <w:divBdr>
                            <w:top w:val="none" w:sz="0" w:space="0" w:color="auto"/>
                            <w:left w:val="none" w:sz="0" w:space="0" w:color="auto"/>
                            <w:bottom w:val="none" w:sz="0" w:space="0" w:color="auto"/>
                            <w:right w:val="none" w:sz="0" w:space="0" w:color="auto"/>
                          </w:divBdr>
                          <w:divsChild>
                            <w:div w:id="1008673653">
                              <w:marLeft w:val="0"/>
                              <w:marRight w:val="0"/>
                              <w:marTop w:val="0"/>
                              <w:marBottom w:val="0"/>
                              <w:divBdr>
                                <w:top w:val="none" w:sz="0" w:space="0" w:color="auto"/>
                                <w:left w:val="none" w:sz="0" w:space="0" w:color="auto"/>
                                <w:bottom w:val="none" w:sz="0" w:space="0" w:color="auto"/>
                                <w:right w:val="none" w:sz="0" w:space="0" w:color="auto"/>
                              </w:divBdr>
                              <w:divsChild>
                                <w:div w:id="1046637530">
                                  <w:marLeft w:val="0"/>
                                  <w:marRight w:val="0"/>
                                  <w:marTop w:val="0"/>
                                  <w:marBottom w:val="0"/>
                                  <w:divBdr>
                                    <w:top w:val="none" w:sz="0" w:space="0" w:color="auto"/>
                                    <w:left w:val="none" w:sz="0" w:space="0" w:color="auto"/>
                                    <w:bottom w:val="none" w:sz="0" w:space="0" w:color="auto"/>
                                    <w:right w:val="none" w:sz="0" w:space="0" w:color="auto"/>
                                  </w:divBdr>
                                  <w:divsChild>
                                    <w:div w:id="1369724243">
                                      <w:marLeft w:val="0"/>
                                      <w:marRight w:val="0"/>
                                      <w:marTop w:val="0"/>
                                      <w:marBottom w:val="0"/>
                                      <w:divBdr>
                                        <w:top w:val="none" w:sz="0" w:space="0" w:color="auto"/>
                                        <w:left w:val="none" w:sz="0" w:space="0" w:color="auto"/>
                                        <w:bottom w:val="none" w:sz="0" w:space="0" w:color="auto"/>
                                        <w:right w:val="none" w:sz="0" w:space="0" w:color="auto"/>
                                      </w:divBdr>
                                    </w:div>
                                    <w:div w:id="1677078274">
                                      <w:marLeft w:val="0"/>
                                      <w:marRight w:val="0"/>
                                      <w:marTop w:val="0"/>
                                      <w:marBottom w:val="0"/>
                                      <w:divBdr>
                                        <w:top w:val="none" w:sz="0" w:space="0" w:color="auto"/>
                                        <w:left w:val="none" w:sz="0" w:space="0" w:color="auto"/>
                                        <w:bottom w:val="none" w:sz="0" w:space="0" w:color="auto"/>
                                        <w:right w:val="none" w:sz="0" w:space="0" w:color="auto"/>
                                      </w:divBdr>
                                    </w:div>
                                    <w:div w:id="138889592">
                                      <w:marLeft w:val="0"/>
                                      <w:marRight w:val="0"/>
                                      <w:marTop w:val="0"/>
                                      <w:marBottom w:val="0"/>
                                      <w:divBdr>
                                        <w:top w:val="none" w:sz="0" w:space="0" w:color="auto"/>
                                        <w:left w:val="none" w:sz="0" w:space="0" w:color="auto"/>
                                        <w:bottom w:val="none" w:sz="0" w:space="0" w:color="auto"/>
                                        <w:right w:val="none" w:sz="0" w:space="0" w:color="auto"/>
                                      </w:divBdr>
                                    </w:div>
                                    <w:div w:id="795368411">
                                      <w:marLeft w:val="0"/>
                                      <w:marRight w:val="0"/>
                                      <w:marTop w:val="0"/>
                                      <w:marBottom w:val="0"/>
                                      <w:divBdr>
                                        <w:top w:val="none" w:sz="0" w:space="0" w:color="auto"/>
                                        <w:left w:val="none" w:sz="0" w:space="0" w:color="auto"/>
                                        <w:bottom w:val="none" w:sz="0" w:space="0" w:color="auto"/>
                                        <w:right w:val="none" w:sz="0" w:space="0" w:color="auto"/>
                                      </w:divBdr>
                                    </w:div>
                                    <w:div w:id="2055543619">
                                      <w:marLeft w:val="0"/>
                                      <w:marRight w:val="0"/>
                                      <w:marTop w:val="0"/>
                                      <w:marBottom w:val="0"/>
                                      <w:divBdr>
                                        <w:top w:val="none" w:sz="0" w:space="0" w:color="auto"/>
                                        <w:left w:val="none" w:sz="0" w:space="0" w:color="auto"/>
                                        <w:bottom w:val="none" w:sz="0" w:space="0" w:color="auto"/>
                                        <w:right w:val="none" w:sz="0" w:space="0" w:color="auto"/>
                                      </w:divBdr>
                                    </w:div>
                                    <w:div w:id="14963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615770">
      <w:bodyDiv w:val="1"/>
      <w:marLeft w:val="0"/>
      <w:marRight w:val="0"/>
      <w:marTop w:val="0"/>
      <w:marBottom w:val="0"/>
      <w:divBdr>
        <w:top w:val="none" w:sz="0" w:space="0" w:color="auto"/>
        <w:left w:val="none" w:sz="0" w:space="0" w:color="auto"/>
        <w:bottom w:val="none" w:sz="0" w:space="0" w:color="auto"/>
        <w:right w:val="none" w:sz="0" w:space="0" w:color="auto"/>
      </w:divBdr>
      <w:divsChild>
        <w:div w:id="801775936">
          <w:marLeft w:val="0"/>
          <w:marRight w:val="0"/>
          <w:marTop w:val="0"/>
          <w:marBottom w:val="0"/>
          <w:divBdr>
            <w:top w:val="none" w:sz="0" w:space="0" w:color="auto"/>
            <w:left w:val="none" w:sz="0" w:space="0" w:color="auto"/>
            <w:bottom w:val="none" w:sz="0" w:space="0" w:color="auto"/>
            <w:right w:val="none" w:sz="0" w:space="0" w:color="auto"/>
          </w:divBdr>
          <w:divsChild>
            <w:div w:id="2116903494">
              <w:marLeft w:val="0"/>
              <w:marRight w:val="0"/>
              <w:marTop w:val="0"/>
              <w:marBottom w:val="0"/>
              <w:divBdr>
                <w:top w:val="none" w:sz="0" w:space="0" w:color="auto"/>
                <w:left w:val="none" w:sz="0" w:space="0" w:color="auto"/>
                <w:bottom w:val="none" w:sz="0" w:space="0" w:color="auto"/>
                <w:right w:val="none" w:sz="0" w:space="0" w:color="auto"/>
              </w:divBdr>
              <w:divsChild>
                <w:div w:id="1773471214">
                  <w:marLeft w:val="0"/>
                  <w:marRight w:val="0"/>
                  <w:marTop w:val="0"/>
                  <w:marBottom w:val="0"/>
                  <w:divBdr>
                    <w:top w:val="none" w:sz="0" w:space="0" w:color="auto"/>
                    <w:left w:val="none" w:sz="0" w:space="0" w:color="auto"/>
                    <w:bottom w:val="none" w:sz="0" w:space="0" w:color="auto"/>
                    <w:right w:val="none" w:sz="0" w:space="0" w:color="auto"/>
                  </w:divBdr>
                  <w:divsChild>
                    <w:div w:id="1707288935">
                      <w:marLeft w:val="0"/>
                      <w:marRight w:val="0"/>
                      <w:marTop w:val="0"/>
                      <w:marBottom w:val="0"/>
                      <w:divBdr>
                        <w:top w:val="none" w:sz="0" w:space="0" w:color="auto"/>
                        <w:left w:val="none" w:sz="0" w:space="0" w:color="auto"/>
                        <w:bottom w:val="none" w:sz="0" w:space="0" w:color="auto"/>
                        <w:right w:val="none" w:sz="0" w:space="0" w:color="auto"/>
                      </w:divBdr>
                      <w:divsChild>
                        <w:div w:id="1382707427">
                          <w:marLeft w:val="0"/>
                          <w:marRight w:val="0"/>
                          <w:marTop w:val="0"/>
                          <w:marBottom w:val="0"/>
                          <w:divBdr>
                            <w:top w:val="none" w:sz="0" w:space="0" w:color="auto"/>
                            <w:left w:val="none" w:sz="0" w:space="0" w:color="auto"/>
                            <w:bottom w:val="none" w:sz="0" w:space="0" w:color="auto"/>
                            <w:right w:val="none" w:sz="0" w:space="0" w:color="auto"/>
                          </w:divBdr>
                        </w:div>
                        <w:div w:id="200560845">
                          <w:marLeft w:val="0"/>
                          <w:marRight w:val="0"/>
                          <w:marTop w:val="0"/>
                          <w:marBottom w:val="0"/>
                          <w:divBdr>
                            <w:top w:val="none" w:sz="0" w:space="0" w:color="auto"/>
                            <w:left w:val="none" w:sz="0" w:space="0" w:color="auto"/>
                            <w:bottom w:val="none" w:sz="0" w:space="0" w:color="auto"/>
                            <w:right w:val="none" w:sz="0" w:space="0" w:color="auto"/>
                          </w:divBdr>
                          <w:divsChild>
                            <w:div w:id="523905891">
                              <w:marLeft w:val="0"/>
                              <w:marRight w:val="0"/>
                              <w:marTop w:val="0"/>
                              <w:marBottom w:val="0"/>
                              <w:divBdr>
                                <w:top w:val="none" w:sz="0" w:space="0" w:color="auto"/>
                                <w:left w:val="none" w:sz="0" w:space="0" w:color="auto"/>
                                <w:bottom w:val="none" w:sz="0" w:space="0" w:color="auto"/>
                                <w:right w:val="none" w:sz="0" w:space="0" w:color="auto"/>
                              </w:divBdr>
                              <w:divsChild>
                                <w:div w:id="816338460">
                                  <w:marLeft w:val="0"/>
                                  <w:marRight w:val="0"/>
                                  <w:marTop w:val="0"/>
                                  <w:marBottom w:val="0"/>
                                  <w:divBdr>
                                    <w:top w:val="none" w:sz="0" w:space="0" w:color="auto"/>
                                    <w:left w:val="none" w:sz="0" w:space="0" w:color="auto"/>
                                    <w:bottom w:val="none" w:sz="0" w:space="0" w:color="auto"/>
                                    <w:right w:val="none" w:sz="0" w:space="0" w:color="auto"/>
                                  </w:divBdr>
                                  <w:divsChild>
                                    <w:div w:id="14590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620471">
      <w:bodyDiv w:val="1"/>
      <w:marLeft w:val="0"/>
      <w:marRight w:val="0"/>
      <w:marTop w:val="0"/>
      <w:marBottom w:val="0"/>
      <w:divBdr>
        <w:top w:val="none" w:sz="0" w:space="0" w:color="auto"/>
        <w:left w:val="none" w:sz="0" w:space="0" w:color="auto"/>
        <w:bottom w:val="none" w:sz="0" w:space="0" w:color="auto"/>
        <w:right w:val="none" w:sz="0" w:space="0" w:color="auto"/>
      </w:divBdr>
      <w:divsChild>
        <w:div w:id="1504397468">
          <w:marLeft w:val="0"/>
          <w:marRight w:val="0"/>
          <w:marTop w:val="0"/>
          <w:marBottom w:val="0"/>
          <w:divBdr>
            <w:top w:val="none" w:sz="0" w:space="0" w:color="auto"/>
            <w:left w:val="none" w:sz="0" w:space="0" w:color="auto"/>
            <w:bottom w:val="none" w:sz="0" w:space="0" w:color="auto"/>
            <w:right w:val="none" w:sz="0" w:space="0" w:color="auto"/>
          </w:divBdr>
          <w:divsChild>
            <w:div w:id="1251740141">
              <w:marLeft w:val="0"/>
              <w:marRight w:val="0"/>
              <w:marTop w:val="0"/>
              <w:marBottom w:val="0"/>
              <w:divBdr>
                <w:top w:val="none" w:sz="0" w:space="0" w:color="auto"/>
                <w:left w:val="none" w:sz="0" w:space="0" w:color="auto"/>
                <w:bottom w:val="none" w:sz="0" w:space="0" w:color="auto"/>
                <w:right w:val="none" w:sz="0" w:space="0" w:color="auto"/>
              </w:divBdr>
              <w:divsChild>
                <w:div w:id="1743478642">
                  <w:marLeft w:val="0"/>
                  <w:marRight w:val="0"/>
                  <w:marTop w:val="0"/>
                  <w:marBottom w:val="0"/>
                  <w:divBdr>
                    <w:top w:val="none" w:sz="0" w:space="0" w:color="auto"/>
                    <w:left w:val="none" w:sz="0" w:space="0" w:color="auto"/>
                    <w:bottom w:val="none" w:sz="0" w:space="0" w:color="auto"/>
                    <w:right w:val="none" w:sz="0" w:space="0" w:color="auto"/>
                  </w:divBdr>
                  <w:divsChild>
                    <w:div w:id="325715397">
                      <w:marLeft w:val="0"/>
                      <w:marRight w:val="0"/>
                      <w:marTop w:val="0"/>
                      <w:marBottom w:val="0"/>
                      <w:divBdr>
                        <w:top w:val="none" w:sz="0" w:space="0" w:color="auto"/>
                        <w:left w:val="none" w:sz="0" w:space="0" w:color="auto"/>
                        <w:bottom w:val="none" w:sz="0" w:space="0" w:color="auto"/>
                        <w:right w:val="none" w:sz="0" w:space="0" w:color="auto"/>
                      </w:divBdr>
                      <w:divsChild>
                        <w:div w:id="1866483037">
                          <w:marLeft w:val="0"/>
                          <w:marRight w:val="0"/>
                          <w:marTop w:val="0"/>
                          <w:marBottom w:val="0"/>
                          <w:divBdr>
                            <w:top w:val="none" w:sz="0" w:space="0" w:color="auto"/>
                            <w:left w:val="none" w:sz="0" w:space="0" w:color="auto"/>
                            <w:bottom w:val="none" w:sz="0" w:space="0" w:color="auto"/>
                            <w:right w:val="none" w:sz="0" w:space="0" w:color="auto"/>
                          </w:divBdr>
                        </w:div>
                        <w:div w:id="1344937977">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sChild>
                                <w:div w:id="1903833300">
                                  <w:marLeft w:val="0"/>
                                  <w:marRight w:val="0"/>
                                  <w:marTop w:val="0"/>
                                  <w:marBottom w:val="0"/>
                                  <w:divBdr>
                                    <w:top w:val="none" w:sz="0" w:space="0" w:color="auto"/>
                                    <w:left w:val="none" w:sz="0" w:space="0" w:color="auto"/>
                                    <w:bottom w:val="none" w:sz="0" w:space="0" w:color="auto"/>
                                    <w:right w:val="none" w:sz="0" w:space="0" w:color="auto"/>
                                  </w:divBdr>
                                  <w:divsChild>
                                    <w:div w:id="182331243">
                                      <w:marLeft w:val="0"/>
                                      <w:marRight w:val="0"/>
                                      <w:marTop w:val="0"/>
                                      <w:marBottom w:val="0"/>
                                      <w:divBdr>
                                        <w:top w:val="none" w:sz="0" w:space="0" w:color="auto"/>
                                        <w:left w:val="none" w:sz="0" w:space="0" w:color="auto"/>
                                        <w:bottom w:val="none" w:sz="0" w:space="0" w:color="auto"/>
                                        <w:right w:val="none" w:sz="0" w:space="0" w:color="auto"/>
                                      </w:divBdr>
                                      <w:divsChild>
                                        <w:div w:id="294605532">
                                          <w:marLeft w:val="0"/>
                                          <w:marRight w:val="0"/>
                                          <w:marTop w:val="0"/>
                                          <w:marBottom w:val="0"/>
                                          <w:divBdr>
                                            <w:top w:val="none" w:sz="0" w:space="0" w:color="auto"/>
                                            <w:left w:val="none" w:sz="0" w:space="0" w:color="auto"/>
                                            <w:bottom w:val="none" w:sz="0" w:space="0" w:color="auto"/>
                                            <w:right w:val="none" w:sz="0" w:space="0" w:color="auto"/>
                                          </w:divBdr>
                                        </w:div>
                                        <w:div w:id="1500656934">
                                          <w:marLeft w:val="0"/>
                                          <w:marRight w:val="0"/>
                                          <w:marTop w:val="0"/>
                                          <w:marBottom w:val="0"/>
                                          <w:divBdr>
                                            <w:top w:val="none" w:sz="0" w:space="0" w:color="auto"/>
                                            <w:left w:val="none" w:sz="0" w:space="0" w:color="auto"/>
                                            <w:bottom w:val="none" w:sz="0" w:space="0" w:color="auto"/>
                                            <w:right w:val="none" w:sz="0" w:space="0" w:color="auto"/>
                                          </w:divBdr>
                                        </w:div>
                                        <w:div w:id="419912131">
                                          <w:marLeft w:val="0"/>
                                          <w:marRight w:val="0"/>
                                          <w:marTop w:val="0"/>
                                          <w:marBottom w:val="0"/>
                                          <w:divBdr>
                                            <w:top w:val="none" w:sz="0" w:space="0" w:color="auto"/>
                                            <w:left w:val="none" w:sz="0" w:space="0" w:color="auto"/>
                                            <w:bottom w:val="none" w:sz="0" w:space="0" w:color="auto"/>
                                            <w:right w:val="none" w:sz="0" w:space="0" w:color="auto"/>
                                          </w:divBdr>
                                        </w:div>
                                        <w:div w:id="656416148">
                                          <w:marLeft w:val="0"/>
                                          <w:marRight w:val="0"/>
                                          <w:marTop w:val="0"/>
                                          <w:marBottom w:val="0"/>
                                          <w:divBdr>
                                            <w:top w:val="none" w:sz="0" w:space="0" w:color="auto"/>
                                            <w:left w:val="none" w:sz="0" w:space="0" w:color="auto"/>
                                            <w:bottom w:val="none" w:sz="0" w:space="0" w:color="auto"/>
                                            <w:right w:val="none" w:sz="0" w:space="0" w:color="auto"/>
                                          </w:divBdr>
                                        </w:div>
                                        <w:div w:id="1357999071">
                                          <w:marLeft w:val="0"/>
                                          <w:marRight w:val="0"/>
                                          <w:marTop w:val="0"/>
                                          <w:marBottom w:val="0"/>
                                          <w:divBdr>
                                            <w:top w:val="none" w:sz="0" w:space="0" w:color="auto"/>
                                            <w:left w:val="none" w:sz="0" w:space="0" w:color="auto"/>
                                            <w:bottom w:val="none" w:sz="0" w:space="0" w:color="auto"/>
                                            <w:right w:val="none" w:sz="0" w:space="0" w:color="auto"/>
                                          </w:divBdr>
                                        </w:div>
                                        <w:div w:id="1791361366">
                                          <w:marLeft w:val="0"/>
                                          <w:marRight w:val="0"/>
                                          <w:marTop w:val="0"/>
                                          <w:marBottom w:val="0"/>
                                          <w:divBdr>
                                            <w:top w:val="none" w:sz="0" w:space="0" w:color="auto"/>
                                            <w:left w:val="none" w:sz="0" w:space="0" w:color="auto"/>
                                            <w:bottom w:val="none" w:sz="0" w:space="0" w:color="auto"/>
                                            <w:right w:val="none" w:sz="0" w:space="0" w:color="auto"/>
                                          </w:divBdr>
                                        </w:div>
                                        <w:div w:id="1481732714">
                                          <w:marLeft w:val="0"/>
                                          <w:marRight w:val="0"/>
                                          <w:marTop w:val="0"/>
                                          <w:marBottom w:val="0"/>
                                          <w:divBdr>
                                            <w:top w:val="none" w:sz="0" w:space="0" w:color="auto"/>
                                            <w:left w:val="none" w:sz="0" w:space="0" w:color="auto"/>
                                            <w:bottom w:val="none" w:sz="0" w:space="0" w:color="auto"/>
                                            <w:right w:val="none" w:sz="0" w:space="0" w:color="auto"/>
                                          </w:divBdr>
                                        </w:div>
                                        <w:div w:id="1978486456">
                                          <w:marLeft w:val="0"/>
                                          <w:marRight w:val="0"/>
                                          <w:marTop w:val="0"/>
                                          <w:marBottom w:val="0"/>
                                          <w:divBdr>
                                            <w:top w:val="none" w:sz="0" w:space="0" w:color="auto"/>
                                            <w:left w:val="none" w:sz="0" w:space="0" w:color="auto"/>
                                            <w:bottom w:val="none" w:sz="0" w:space="0" w:color="auto"/>
                                            <w:right w:val="none" w:sz="0" w:space="0" w:color="auto"/>
                                          </w:divBdr>
                                        </w:div>
                                      </w:divsChild>
                                    </w:div>
                                    <w:div w:id="1011420148">
                                      <w:marLeft w:val="0"/>
                                      <w:marRight w:val="0"/>
                                      <w:marTop w:val="0"/>
                                      <w:marBottom w:val="0"/>
                                      <w:divBdr>
                                        <w:top w:val="none" w:sz="0" w:space="0" w:color="auto"/>
                                        <w:left w:val="none" w:sz="0" w:space="0" w:color="auto"/>
                                        <w:bottom w:val="none" w:sz="0" w:space="0" w:color="auto"/>
                                        <w:right w:val="none" w:sz="0" w:space="0" w:color="auto"/>
                                      </w:divBdr>
                                    </w:div>
                                    <w:div w:id="220597834">
                                      <w:marLeft w:val="0"/>
                                      <w:marRight w:val="0"/>
                                      <w:marTop w:val="0"/>
                                      <w:marBottom w:val="0"/>
                                      <w:divBdr>
                                        <w:top w:val="none" w:sz="0" w:space="0" w:color="auto"/>
                                        <w:left w:val="none" w:sz="0" w:space="0" w:color="auto"/>
                                        <w:bottom w:val="none" w:sz="0" w:space="0" w:color="auto"/>
                                        <w:right w:val="none" w:sz="0" w:space="0" w:color="auto"/>
                                      </w:divBdr>
                                    </w:div>
                                    <w:div w:id="11656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3D39D85F.dotm</Template>
  <TotalTime>0</TotalTime>
  <Pages>2</Pages>
  <Words>541</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Bockholt, Marco (AfSD)</dc:creator>
  <cp:lastModifiedBy>Bockholt, Marco (AfSD)</cp:lastModifiedBy>
  <cp:revision>1</cp:revision>
  <cp:lastPrinted>2017-03-07T09:53:00Z</cp:lastPrinted>
  <dcterms:created xsi:type="dcterms:W3CDTF">2017-03-07T09:47:00Z</dcterms:created>
  <dcterms:modified xsi:type="dcterms:W3CDTF">2017-03-07T09:53:00Z</dcterms:modified>
</cp:coreProperties>
</file>